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1A" w:rsidRPr="0027081A" w:rsidRDefault="0027081A" w:rsidP="0027081A">
      <w:pPr>
        <w:spacing w:after="0" w:line="288" w:lineRule="auto"/>
        <w:jc w:val="both"/>
        <w:rPr>
          <w:rFonts w:ascii="Arial" w:eastAsia="Times New Roman" w:hAnsi="Arial" w:cs="Arial"/>
          <w:color w:val="000000"/>
          <w:lang w:eastAsia="cs-CZ"/>
        </w:rPr>
      </w:pPr>
      <w:r w:rsidRPr="0027081A">
        <w:rPr>
          <w:rFonts w:ascii="Arial" w:eastAsia="Times New Roman" w:hAnsi="Arial" w:cs="Arial"/>
          <w:color w:val="000000"/>
          <w:lang w:eastAsia="cs-CZ"/>
        </w:rPr>
        <w:t>Příloha č. 12 k vyhlášce č. 428/2001 Sb.</w:t>
      </w:r>
    </w:p>
    <w:p w:rsidR="0027081A" w:rsidRPr="0027081A" w:rsidRDefault="0027081A" w:rsidP="0027081A">
      <w:pPr>
        <w:spacing w:after="0" w:line="330" w:lineRule="atLeast"/>
        <w:outlineLvl w:val="3"/>
        <w:rPr>
          <w:rFonts w:ascii="Arial" w:eastAsia="Times New Roman" w:hAnsi="Arial" w:cs="Arial"/>
          <w:b/>
          <w:bCs/>
          <w:color w:val="08A8F8"/>
          <w:lang w:eastAsia="cs-CZ"/>
        </w:rPr>
      </w:pPr>
      <w:r w:rsidRPr="0027081A">
        <w:rPr>
          <w:rFonts w:ascii="Arial" w:eastAsia="Times New Roman" w:hAnsi="Arial" w:cs="Arial"/>
          <w:b/>
          <w:bCs/>
          <w:color w:val="08A8F8"/>
          <w:lang w:eastAsia="cs-CZ"/>
        </w:rPr>
        <w:t>SMĚRNÁ ČÍSLA ROČNÍ POTŘEBY VODY</w:t>
      </w:r>
    </w:p>
    <w:p w:rsidR="0027081A" w:rsidRPr="0027081A" w:rsidRDefault="0027081A" w:rsidP="0027081A">
      <w:pPr>
        <w:spacing w:after="0" w:line="288" w:lineRule="auto"/>
        <w:jc w:val="both"/>
        <w:rPr>
          <w:rFonts w:ascii="Arial" w:eastAsia="Times New Roman" w:hAnsi="Arial" w:cs="Arial"/>
          <w:color w:val="000000"/>
          <w:lang w:eastAsia="cs-CZ"/>
        </w:rPr>
      </w:pPr>
      <w:r w:rsidRPr="0027081A">
        <w:rPr>
          <w:rFonts w:ascii="Arial" w:eastAsia="Times New Roman" w:hAnsi="Arial" w:cs="Arial"/>
          <w:b/>
          <w:bCs/>
          <w:color w:val="000000"/>
          <w:lang w:eastAsia="cs-CZ"/>
        </w:rPr>
        <w:t>I.</w:t>
      </w:r>
      <w:r w:rsidRPr="0027081A">
        <w:rPr>
          <w:rFonts w:ascii="Arial" w:eastAsia="Times New Roman" w:hAnsi="Arial" w:cs="Arial"/>
          <w:color w:val="000000"/>
          <w:lang w:eastAsia="cs-CZ"/>
        </w:rPr>
        <w:t xml:space="preserve"> BYTOVÝ FOND</w:t>
      </w:r>
    </w:p>
    <w:p w:rsidR="0027081A" w:rsidRPr="0027081A" w:rsidRDefault="0027081A" w:rsidP="0027081A">
      <w:pPr>
        <w:spacing w:after="0" w:line="288" w:lineRule="auto"/>
        <w:jc w:val="both"/>
        <w:rPr>
          <w:rFonts w:ascii="Arial" w:eastAsia="Times New Roman" w:hAnsi="Arial" w:cs="Arial"/>
          <w:color w:val="000000"/>
          <w:lang w:eastAsia="cs-CZ"/>
        </w:rPr>
      </w:pPr>
      <w:r w:rsidRPr="0027081A">
        <w:rPr>
          <w:rFonts w:ascii="Arial" w:eastAsia="Times New Roman" w:hAnsi="Arial" w:cs="Arial"/>
          <w:color w:val="000000"/>
          <w:highlight w:val="yellow"/>
          <w:lang w:eastAsia="cs-CZ"/>
        </w:rPr>
        <w:t>Byty,</w:t>
      </w:r>
    </w:p>
    <w:p w:rsidR="0027081A" w:rsidRPr="0027081A" w:rsidRDefault="0027081A" w:rsidP="0027081A">
      <w:pPr>
        <w:spacing w:after="0" w:line="288" w:lineRule="auto"/>
        <w:jc w:val="both"/>
        <w:rPr>
          <w:rFonts w:ascii="Arial" w:eastAsia="Times New Roman" w:hAnsi="Arial" w:cs="Arial"/>
          <w:color w:val="000000"/>
          <w:lang w:eastAsia="cs-CZ"/>
        </w:rPr>
      </w:pPr>
      <w:r w:rsidRPr="0027081A">
        <w:rPr>
          <w:rFonts w:ascii="Arial" w:eastAsia="Times New Roman" w:hAnsi="Arial" w:cs="Arial"/>
          <w:b/>
          <w:bCs/>
          <w:color w:val="000000"/>
          <w:lang w:eastAsia="cs-CZ"/>
        </w:rPr>
        <w:t>1.</w:t>
      </w:r>
      <w:r w:rsidRPr="0027081A">
        <w:rPr>
          <w:rFonts w:ascii="Arial" w:eastAsia="Times New Roman" w:hAnsi="Arial" w:cs="Arial"/>
          <w:color w:val="000000"/>
          <w:lang w:eastAsia="cs-CZ"/>
        </w:rPr>
        <w:t xml:space="preserve"> na jednu osobu bytu s tekoucí studenou vodou mimo byt za rok 15 m</w:t>
      </w:r>
      <w:r w:rsidRPr="0027081A">
        <w:rPr>
          <w:rFonts w:ascii="Arial" w:eastAsia="Times New Roman" w:hAnsi="Arial" w:cs="Arial"/>
          <w:color w:val="000000"/>
          <w:vertAlign w:val="superscript"/>
          <w:lang w:eastAsia="cs-CZ"/>
        </w:rPr>
        <w:t>3</w:t>
      </w:r>
    </w:p>
    <w:p w:rsidR="0027081A" w:rsidRPr="0027081A" w:rsidRDefault="0027081A" w:rsidP="0027081A">
      <w:pPr>
        <w:spacing w:after="0" w:line="288" w:lineRule="auto"/>
        <w:jc w:val="both"/>
        <w:rPr>
          <w:rFonts w:ascii="Arial" w:eastAsia="Times New Roman" w:hAnsi="Arial" w:cs="Arial"/>
          <w:color w:val="000000"/>
          <w:lang w:eastAsia="cs-CZ"/>
        </w:rPr>
      </w:pPr>
      <w:r w:rsidRPr="0027081A">
        <w:rPr>
          <w:rFonts w:ascii="Arial" w:eastAsia="Times New Roman" w:hAnsi="Arial" w:cs="Arial"/>
          <w:b/>
          <w:bCs/>
          <w:color w:val="000000"/>
          <w:lang w:eastAsia="cs-CZ"/>
        </w:rPr>
        <w:t>2.</w:t>
      </w:r>
      <w:r w:rsidRPr="0027081A">
        <w:rPr>
          <w:rFonts w:ascii="Arial" w:eastAsia="Times New Roman" w:hAnsi="Arial" w:cs="Arial"/>
          <w:color w:val="000000"/>
          <w:lang w:eastAsia="cs-CZ"/>
        </w:rPr>
        <w:t xml:space="preserve"> na jednu osobu bytu bez tekoucí teplé vody (teplé vody na kohoutku) za rok 25 m</w:t>
      </w:r>
      <w:r w:rsidRPr="0027081A">
        <w:rPr>
          <w:rFonts w:ascii="Arial" w:eastAsia="Times New Roman" w:hAnsi="Arial" w:cs="Arial"/>
          <w:color w:val="000000"/>
          <w:vertAlign w:val="superscript"/>
          <w:lang w:eastAsia="cs-CZ"/>
        </w:rPr>
        <w:t>3</w:t>
      </w:r>
    </w:p>
    <w:p w:rsidR="0027081A" w:rsidRPr="0027081A" w:rsidRDefault="0027081A" w:rsidP="0027081A">
      <w:pPr>
        <w:spacing w:after="0" w:line="288" w:lineRule="auto"/>
        <w:jc w:val="both"/>
        <w:rPr>
          <w:rFonts w:ascii="Arial" w:eastAsia="Times New Roman" w:hAnsi="Arial" w:cs="Arial"/>
          <w:color w:val="000000"/>
          <w:lang w:eastAsia="cs-CZ"/>
        </w:rPr>
      </w:pPr>
      <w:r w:rsidRPr="0027081A">
        <w:rPr>
          <w:rFonts w:ascii="Arial" w:eastAsia="Times New Roman" w:hAnsi="Arial" w:cs="Arial"/>
          <w:b/>
          <w:bCs/>
          <w:color w:val="000000"/>
          <w:highlight w:val="yellow"/>
          <w:lang w:eastAsia="cs-CZ"/>
        </w:rPr>
        <w:t>3.</w:t>
      </w:r>
      <w:r w:rsidRPr="0027081A">
        <w:rPr>
          <w:rFonts w:ascii="Arial" w:eastAsia="Times New Roman" w:hAnsi="Arial" w:cs="Arial"/>
          <w:color w:val="000000"/>
          <w:highlight w:val="yellow"/>
          <w:lang w:eastAsia="cs-CZ"/>
        </w:rPr>
        <w:t xml:space="preserve"> na jednu osobu bytu s tekoucí teplou vodou (teplá voda na kohoutku) za rok 35 m</w:t>
      </w:r>
      <w:r w:rsidRPr="0027081A">
        <w:rPr>
          <w:rFonts w:ascii="Arial" w:eastAsia="Times New Roman" w:hAnsi="Arial" w:cs="Arial"/>
          <w:color w:val="000000"/>
          <w:highlight w:val="yellow"/>
          <w:vertAlign w:val="superscript"/>
          <w:lang w:eastAsia="cs-CZ"/>
        </w:rPr>
        <w:t>3</w:t>
      </w:r>
    </w:p>
    <w:p w:rsidR="0027081A" w:rsidRPr="0027081A" w:rsidRDefault="0027081A" w:rsidP="0027081A">
      <w:pPr>
        <w:spacing w:after="0" w:line="288" w:lineRule="auto"/>
        <w:jc w:val="both"/>
        <w:rPr>
          <w:rFonts w:ascii="Arial" w:eastAsia="Times New Roman" w:hAnsi="Arial" w:cs="Arial"/>
          <w:color w:val="000000"/>
          <w:lang w:eastAsia="cs-CZ"/>
        </w:rPr>
      </w:pPr>
      <w:r w:rsidRPr="0027081A">
        <w:rPr>
          <w:rFonts w:ascii="Arial" w:eastAsia="Times New Roman" w:hAnsi="Arial" w:cs="Arial"/>
          <w:color w:val="000000"/>
          <w:lang w:eastAsia="cs-CZ"/>
        </w:rPr>
        <w:t>Hodnota uvedená v položce č. 3 je součtem spotřeby studené a teplé vody.</w:t>
      </w:r>
    </w:p>
    <w:p w:rsidR="0027081A" w:rsidRPr="0027081A" w:rsidRDefault="0027081A" w:rsidP="0027081A">
      <w:pPr>
        <w:spacing w:after="0" w:line="288" w:lineRule="auto"/>
        <w:jc w:val="both"/>
        <w:rPr>
          <w:rFonts w:ascii="Arial" w:eastAsia="Times New Roman" w:hAnsi="Arial" w:cs="Arial"/>
          <w:color w:val="000000"/>
          <w:lang w:eastAsia="cs-CZ"/>
        </w:rPr>
      </w:pPr>
      <w:r w:rsidRPr="0027081A">
        <w:rPr>
          <w:rFonts w:ascii="Arial" w:eastAsia="Times New Roman" w:hAnsi="Arial" w:cs="Arial"/>
          <w:color w:val="000000"/>
          <w:lang w:eastAsia="cs-CZ"/>
        </w:rPr>
        <w:t>Teplou vodou na kohoutku je teplá voda vytékající z výtoku ovládaného uzávěrem přímo do dřezu, umyvadla, vany, sprchy apod. Není rozhodující, zda je voda ohřívána elektrickým zásobníkem, průtokovým ohřevem, plynovým kotlem pro byt nebo dům, nebo je připravována centrálně pro celou obec nebo město; tedy ze zdroje mimo fakturační vodoměr studené vody v domě.</w:t>
      </w:r>
    </w:p>
    <w:p w:rsidR="0027081A" w:rsidRPr="0027081A" w:rsidRDefault="0027081A" w:rsidP="0027081A">
      <w:pPr>
        <w:spacing w:after="0" w:line="288" w:lineRule="auto"/>
        <w:jc w:val="both"/>
        <w:rPr>
          <w:rFonts w:ascii="Arial" w:eastAsia="Times New Roman" w:hAnsi="Arial" w:cs="Arial"/>
          <w:color w:val="000000"/>
          <w:lang w:eastAsia="cs-CZ"/>
        </w:rPr>
      </w:pPr>
      <w:r w:rsidRPr="0027081A">
        <w:rPr>
          <w:rFonts w:ascii="Arial" w:eastAsia="Times New Roman" w:hAnsi="Arial" w:cs="Arial"/>
          <w:color w:val="000000"/>
          <w:lang w:eastAsia="cs-CZ"/>
        </w:rPr>
        <w:t>V případech dodávky teplé vody ze zdroje mimo fakturační vodoměr studené vody se při výpočtu použijí hodnoty podle bytu bez tekoucí teplé vody.</w:t>
      </w:r>
    </w:p>
    <w:p w:rsidR="0027081A" w:rsidRPr="0027081A" w:rsidRDefault="0027081A" w:rsidP="0027081A">
      <w:pPr>
        <w:spacing w:after="0" w:line="288" w:lineRule="auto"/>
        <w:jc w:val="both"/>
        <w:rPr>
          <w:rFonts w:ascii="Arial" w:eastAsia="Times New Roman" w:hAnsi="Arial" w:cs="Arial"/>
          <w:color w:val="000000"/>
          <w:lang w:eastAsia="cs-CZ"/>
        </w:rPr>
      </w:pPr>
      <w:r w:rsidRPr="0027081A">
        <w:rPr>
          <w:rFonts w:ascii="Arial" w:eastAsia="Times New Roman" w:hAnsi="Arial" w:cs="Arial"/>
          <w:color w:val="000000"/>
          <w:highlight w:val="yellow"/>
          <w:lang w:eastAsia="cs-CZ"/>
        </w:rPr>
        <w:t>Rodinné domy.</w:t>
      </w:r>
    </w:p>
    <w:p w:rsidR="0027081A" w:rsidRPr="0027081A" w:rsidRDefault="0027081A" w:rsidP="0027081A">
      <w:pPr>
        <w:spacing w:after="0" w:line="288" w:lineRule="auto"/>
        <w:jc w:val="both"/>
        <w:rPr>
          <w:rFonts w:ascii="Arial" w:eastAsia="Times New Roman" w:hAnsi="Arial" w:cs="Arial"/>
          <w:color w:val="000000"/>
          <w:lang w:eastAsia="cs-CZ"/>
        </w:rPr>
      </w:pPr>
      <w:r w:rsidRPr="0027081A">
        <w:rPr>
          <w:rFonts w:ascii="Arial" w:eastAsia="Times New Roman" w:hAnsi="Arial" w:cs="Arial"/>
          <w:color w:val="000000"/>
          <w:highlight w:val="yellow"/>
          <w:lang w:eastAsia="cs-CZ"/>
        </w:rPr>
        <w:t>Na jednu osobu bytu v rodinném domu (max. 3 byty - 3 rodiny) se připočítává 1 m</w:t>
      </w:r>
      <w:r w:rsidRPr="0027081A">
        <w:rPr>
          <w:rFonts w:ascii="Arial" w:eastAsia="Times New Roman" w:hAnsi="Arial" w:cs="Arial"/>
          <w:color w:val="000000"/>
          <w:highlight w:val="yellow"/>
          <w:vertAlign w:val="superscript"/>
          <w:lang w:eastAsia="cs-CZ"/>
        </w:rPr>
        <w:t>3</w:t>
      </w:r>
      <w:r w:rsidRPr="0027081A">
        <w:rPr>
          <w:rFonts w:ascii="Arial" w:eastAsia="Times New Roman" w:hAnsi="Arial" w:cs="Arial"/>
          <w:color w:val="000000"/>
          <w:highlight w:val="yellow"/>
          <w:lang w:eastAsia="cs-CZ"/>
        </w:rPr>
        <w:t xml:space="preserve"> na spotřebu spojenou s očistou okolí rodinného domu i s očistou osob při aktivitách v zahradě apod. Kropení zahrady a provoz bazénů je samostatnou položkou a nespadá pod bytový fond.</w:t>
      </w:r>
    </w:p>
    <w:p w:rsidR="0027081A" w:rsidRPr="0027081A" w:rsidRDefault="0027081A" w:rsidP="0027081A">
      <w:pPr>
        <w:spacing w:after="0" w:line="288" w:lineRule="auto"/>
        <w:jc w:val="both"/>
        <w:rPr>
          <w:rFonts w:ascii="Arial" w:eastAsia="Times New Roman" w:hAnsi="Arial" w:cs="Arial"/>
          <w:color w:val="000000"/>
          <w:highlight w:val="yellow"/>
          <w:lang w:eastAsia="cs-CZ"/>
        </w:rPr>
      </w:pPr>
      <w:r w:rsidRPr="0027081A">
        <w:rPr>
          <w:rFonts w:ascii="Arial" w:eastAsia="Times New Roman" w:hAnsi="Arial" w:cs="Arial"/>
          <w:color w:val="000000"/>
          <w:highlight w:val="yellow"/>
          <w:lang w:eastAsia="cs-CZ"/>
        </w:rPr>
        <w:t>Rekreační chaty (chalupy).</w:t>
      </w:r>
    </w:p>
    <w:p w:rsidR="0027081A" w:rsidRPr="0027081A" w:rsidRDefault="0027081A" w:rsidP="0027081A">
      <w:pPr>
        <w:spacing w:after="0" w:line="288" w:lineRule="auto"/>
        <w:jc w:val="both"/>
        <w:rPr>
          <w:rFonts w:ascii="Arial" w:eastAsia="Times New Roman" w:hAnsi="Arial" w:cs="Arial"/>
          <w:color w:val="000000"/>
          <w:lang w:eastAsia="cs-CZ"/>
        </w:rPr>
      </w:pPr>
      <w:r w:rsidRPr="0027081A">
        <w:rPr>
          <w:rFonts w:ascii="Arial" w:eastAsia="Times New Roman" w:hAnsi="Arial" w:cs="Arial"/>
          <w:color w:val="000000"/>
          <w:highlight w:val="yellow"/>
          <w:lang w:eastAsia="cs-CZ"/>
        </w:rPr>
        <w:t>Na jednu osobu rekreační chaty (chalupy) se spotřeba vypočte jako u položek č. 1, 2, 3 i s připočtením 1 m</w:t>
      </w:r>
      <w:r w:rsidRPr="0027081A">
        <w:rPr>
          <w:rFonts w:ascii="Arial" w:eastAsia="Times New Roman" w:hAnsi="Arial" w:cs="Arial"/>
          <w:color w:val="000000"/>
          <w:highlight w:val="yellow"/>
          <w:vertAlign w:val="superscript"/>
          <w:lang w:eastAsia="cs-CZ"/>
        </w:rPr>
        <w:t>3</w:t>
      </w:r>
      <w:r w:rsidRPr="0027081A">
        <w:rPr>
          <w:rFonts w:ascii="Arial" w:eastAsia="Times New Roman" w:hAnsi="Arial" w:cs="Arial"/>
          <w:color w:val="000000"/>
          <w:highlight w:val="yellow"/>
          <w:lang w:eastAsia="cs-CZ"/>
        </w:rPr>
        <w:t xml:space="preserve"> jako u rodinného domu, vše s přihlédnutím k době, po kterou je chata během roku využívána. Tento výpočet se v případě, že odběr pitné vody není měřen vodoměrem, uvede do smlouvy podle § 8 odst. 6 zákona.</w:t>
      </w:r>
      <w:bookmarkStart w:id="0" w:name="_GoBack"/>
      <w:bookmarkEnd w:id="0"/>
    </w:p>
    <w:p w:rsidR="0027081A" w:rsidRPr="0027081A" w:rsidRDefault="0027081A" w:rsidP="0027081A">
      <w:pPr>
        <w:spacing w:after="0" w:line="288" w:lineRule="auto"/>
        <w:jc w:val="both"/>
        <w:rPr>
          <w:rFonts w:ascii="Arial" w:eastAsia="Times New Roman" w:hAnsi="Arial" w:cs="Arial"/>
          <w:color w:val="000000"/>
          <w:lang w:eastAsia="cs-CZ"/>
        </w:rPr>
      </w:pPr>
      <w:r w:rsidRPr="0027081A">
        <w:rPr>
          <w:rFonts w:ascii="Arial" w:eastAsia="Times New Roman" w:hAnsi="Arial" w:cs="Arial"/>
          <w:color w:val="000000"/>
          <w:lang w:eastAsia="cs-CZ"/>
        </w:rPr>
        <w:t>Způsob výpočtu množství vypouštěných odpadních vod v případech, kdy odběratel vodu dodanou vodovodem zčásti spotřebuje bez vypouštění do kanalizace podle § 19 odst. 7 zákona:</w:t>
      </w:r>
    </w:p>
    <w:p w:rsidR="0027081A" w:rsidRPr="0027081A" w:rsidRDefault="0027081A" w:rsidP="0027081A">
      <w:pPr>
        <w:spacing w:after="0" w:line="288" w:lineRule="auto"/>
        <w:jc w:val="both"/>
        <w:rPr>
          <w:rFonts w:ascii="Arial" w:eastAsia="Times New Roman" w:hAnsi="Arial" w:cs="Arial"/>
          <w:color w:val="000000"/>
          <w:lang w:eastAsia="cs-CZ"/>
        </w:rPr>
      </w:pPr>
      <w:r w:rsidRPr="0027081A">
        <w:rPr>
          <w:rFonts w:ascii="Arial" w:eastAsia="Times New Roman" w:hAnsi="Arial" w:cs="Arial"/>
          <w:color w:val="000000"/>
          <w:lang w:eastAsia="cs-CZ"/>
        </w:rPr>
        <w:t>V případech kdy rozdíl množství vodoměrem změřené pitné vody a množstvím stanoveným podle položek č. 1, 2 a 3 v odběru pro bytový fond, je-li důvodem kropení zahrady, je větší než 30m</w:t>
      </w:r>
      <w:r w:rsidRPr="0027081A">
        <w:rPr>
          <w:rFonts w:ascii="Arial" w:eastAsia="Times New Roman" w:hAnsi="Arial" w:cs="Arial"/>
          <w:color w:val="000000"/>
          <w:vertAlign w:val="superscript"/>
          <w:lang w:eastAsia="cs-CZ"/>
        </w:rPr>
        <w:t>3</w:t>
      </w:r>
      <w:r w:rsidRPr="0027081A">
        <w:rPr>
          <w:rFonts w:ascii="Arial" w:eastAsia="Times New Roman" w:hAnsi="Arial" w:cs="Arial"/>
          <w:color w:val="000000"/>
          <w:lang w:eastAsia="cs-CZ"/>
        </w:rPr>
        <w:t xml:space="preserve"> se množství nevypouštěných vod stanoví podle položek 63 až 66 směrných čísel. V případech kdy rozdíl množství vodoměrem změřené pitné vody a množstvím stanoveným podle směrných čísel, je </w:t>
      </w:r>
      <w:proofErr w:type="spellStart"/>
      <w:r w:rsidRPr="0027081A">
        <w:rPr>
          <w:rFonts w:ascii="Arial" w:eastAsia="Times New Roman" w:hAnsi="Arial" w:cs="Arial"/>
          <w:color w:val="000000"/>
          <w:lang w:eastAsia="cs-CZ"/>
        </w:rPr>
        <w:t>li</w:t>
      </w:r>
      <w:proofErr w:type="spellEnd"/>
      <w:r w:rsidRPr="0027081A">
        <w:rPr>
          <w:rFonts w:ascii="Arial" w:eastAsia="Times New Roman" w:hAnsi="Arial" w:cs="Arial"/>
          <w:color w:val="000000"/>
          <w:lang w:eastAsia="cs-CZ"/>
        </w:rPr>
        <w:t xml:space="preserve"> důvodem výroba balených nápojů nebo jídel apod., je větší než 30m</w:t>
      </w:r>
      <w:r w:rsidRPr="0027081A">
        <w:rPr>
          <w:rFonts w:ascii="Arial" w:eastAsia="Times New Roman" w:hAnsi="Arial" w:cs="Arial"/>
          <w:color w:val="000000"/>
          <w:vertAlign w:val="superscript"/>
          <w:lang w:eastAsia="cs-CZ"/>
        </w:rPr>
        <w:t>3</w:t>
      </w:r>
      <w:r w:rsidRPr="0027081A">
        <w:rPr>
          <w:rFonts w:ascii="Arial" w:eastAsia="Times New Roman" w:hAnsi="Arial" w:cs="Arial"/>
          <w:color w:val="000000"/>
          <w:lang w:eastAsia="cs-CZ"/>
        </w:rPr>
        <w:t>, se množství nevypouštěných vod stanoví odborným výpočtem ve vazbě na produkci.</w:t>
      </w:r>
    </w:p>
    <w:p w:rsidR="0027081A" w:rsidRPr="0027081A" w:rsidRDefault="0027081A" w:rsidP="0027081A">
      <w:pPr>
        <w:spacing w:after="0" w:line="288" w:lineRule="auto"/>
        <w:jc w:val="both"/>
        <w:rPr>
          <w:rFonts w:ascii="Arial" w:eastAsia="Times New Roman" w:hAnsi="Arial" w:cs="Arial"/>
          <w:color w:val="000000"/>
          <w:lang w:eastAsia="cs-CZ"/>
        </w:rPr>
      </w:pPr>
      <w:r w:rsidRPr="0027081A">
        <w:rPr>
          <w:rFonts w:ascii="Arial" w:eastAsia="Times New Roman" w:hAnsi="Arial" w:cs="Arial"/>
          <w:color w:val="000000"/>
          <w:lang w:eastAsia="cs-CZ"/>
        </w:rPr>
        <w:t>V případech vlastního zdroje pitné vody (studna apod.) se množství odpadních vod stanovuje podle směrných čísel.</w:t>
      </w:r>
    </w:p>
    <w:p w:rsidR="00EA2CCE" w:rsidRDefault="00EA2CCE"/>
    <w:sectPr w:rsidR="00EA2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1A"/>
    <w:rsid w:val="0027081A"/>
    <w:rsid w:val="008B40B0"/>
    <w:rsid w:val="00EA2C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21">
    <w:name w:val="l21"/>
    <w:basedOn w:val="Normln"/>
    <w:rsid w:val="0027081A"/>
    <w:pPr>
      <w:spacing w:after="0" w:line="288" w:lineRule="auto"/>
      <w:jc w:val="both"/>
    </w:pPr>
    <w:rPr>
      <w:rFonts w:ascii="Times New Roman" w:eastAsia="Times New Roman" w:hAnsi="Times New Roman" w:cs="Times New Roman"/>
      <w:sz w:val="24"/>
      <w:szCs w:val="24"/>
      <w:lang w:eastAsia="cs-CZ"/>
    </w:rPr>
  </w:style>
  <w:style w:type="paragraph" w:customStyle="1" w:styleId="l31">
    <w:name w:val="l31"/>
    <w:basedOn w:val="Normln"/>
    <w:rsid w:val="0027081A"/>
    <w:pPr>
      <w:spacing w:after="0" w:line="288" w:lineRule="auto"/>
      <w:jc w:val="both"/>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21">
    <w:name w:val="l21"/>
    <w:basedOn w:val="Normln"/>
    <w:rsid w:val="0027081A"/>
    <w:pPr>
      <w:spacing w:after="0" w:line="288" w:lineRule="auto"/>
      <w:jc w:val="both"/>
    </w:pPr>
    <w:rPr>
      <w:rFonts w:ascii="Times New Roman" w:eastAsia="Times New Roman" w:hAnsi="Times New Roman" w:cs="Times New Roman"/>
      <w:sz w:val="24"/>
      <w:szCs w:val="24"/>
      <w:lang w:eastAsia="cs-CZ"/>
    </w:rPr>
  </w:style>
  <w:style w:type="paragraph" w:customStyle="1" w:styleId="l31">
    <w:name w:val="l31"/>
    <w:basedOn w:val="Normln"/>
    <w:rsid w:val="0027081A"/>
    <w:pPr>
      <w:spacing w:after="0" w:line="288" w:lineRule="auto"/>
      <w:jc w:val="both"/>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7056">
      <w:bodyDiv w:val="1"/>
      <w:marLeft w:val="0"/>
      <w:marRight w:val="0"/>
      <w:marTop w:val="0"/>
      <w:marBottom w:val="0"/>
      <w:divBdr>
        <w:top w:val="none" w:sz="0" w:space="0" w:color="auto"/>
        <w:left w:val="none" w:sz="0" w:space="0" w:color="auto"/>
        <w:bottom w:val="none" w:sz="0" w:space="0" w:color="auto"/>
        <w:right w:val="none" w:sz="0" w:space="0" w:color="auto"/>
      </w:divBdr>
      <w:divsChild>
        <w:div w:id="1321730409">
          <w:marLeft w:val="0"/>
          <w:marRight w:val="0"/>
          <w:marTop w:val="0"/>
          <w:marBottom w:val="0"/>
          <w:divBdr>
            <w:top w:val="none" w:sz="0" w:space="0" w:color="auto"/>
            <w:left w:val="none" w:sz="0" w:space="0" w:color="auto"/>
            <w:bottom w:val="none" w:sz="0" w:space="0" w:color="auto"/>
            <w:right w:val="none" w:sz="0" w:space="0" w:color="auto"/>
          </w:divBdr>
          <w:divsChild>
            <w:div w:id="506023350">
              <w:marLeft w:val="0"/>
              <w:marRight w:val="0"/>
              <w:marTop w:val="0"/>
              <w:marBottom w:val="0"/>
              <w:divBdr>
                <w:top w:val="none" w:sz="0" w:space="0" w:color="auto"/>
                <w:left w:val="none" w:sz="0" w:space="0" w:color="auto"/>
                <w:bottom w:val="none" w:sz="0" w:space="0" w:color="auto"/>
                <w:right w:val="none" w:sz="0" w:space="0" w:color="auto"/>
              </w:divBdr>
              <w:divsChild>
                <w:div w:id="1694190468">
                  <w:marLeft w:val="0"/>
                  <w:marRight w:val="0"/>
                  <w:marTop w:val="0"/>
                  <w:marBottom w:val="0"/>
                  <w:divBdr>
                    <w:top w:val="none" w:sz="0" w:space="0" w:color="auto"/>
                    <w:left w:val="none" w:sz="0" w:space="0" w:color="auto"/>
                    <w:bottom w:val="none" w:sz="0" w:space="0" w:color="auto"/>
                    <w:right w:val="none" w:sz="0" w:space="0" w:color="auto"/>
                  </w:divBdr>
                  <w:divsChild>
                    <w:div w:id="381566641">
                      <w:marLeft w:val="0"/>
                      <w:marRight w:val="0"/>
                      <w:marTop w:val="0"/>
                      <w:marBottom w:val="0"/>
                      <w:divBdr>
                        <w:top w:val="none" w:sz="0" w:space="0" w:color="auto"/>
                        <w:left w:val="none" w:sz="0" w:space="0" w:color="auto"/>
                        <w:bottom w:val="none" w:sz="0" w:space="0" w:color="auto"/>
                        <w:right w:val="none" w:sz="0" w:space="0" w:color="auto"/>
                      </w:divBdr>
                      <w:divsChild>
                        <w:div w:id="790368101">
                          <w:marLeft w:val="0"/>
                          <w:marRight w:val="0"/>
                          <w:marTop w:val="0"/>
                          <w:marBottom w:val="0"/>
                          <w:divBdr>
                            <w:top w:val="none" w:sz="0" w:space="0" w:color="auto"/>
                            <w:left w:val="none" w:sz="0" w:space="0" w:color="auto"/>
                            <w:bottom w:val="none" w:sz="0" w:space="0" w:color="auto"/>
                            <w:right w:val="none" w:sz="0" w:space="0" w:color="auto"/>
                          </w:divBdr>
                        </w:div>
                      </w:divsChild>
                    </w:div>
                    <w:div w:id="892935065">
                      <w:marLeft w:val="0"/>
                      <w:marRight w:val="0"/>
                      <w:marTop w:val="0"/>
                      <w:marBottom w:val="0"/>
                      <w:divBdr>
                        <w:top w:val="none" w:sz="0" w:space="0" w:color="auto"/>
                        <w:left w:val="none" w:sz="0" w:space="0" w:color="auto"/>
                        <w:bottom w:val="none" w:sz="0" w:space="0" w:color="auto"/>
                        <w:right w:val="none" w:sz="0" w:space="0" w:color="auto"/>
                      </w:divBdr>
                      <w:divsChild>
                        <w:div w:id="720448396">
                          <w:marLeft w:val="0"/>
                          <w:marRight w:val="0"/>
                          <w:marTop w:val="0"/>
                          <w:marBottom w:val="0"/>
                          <w:divBdr>
                            <w:top w:val="none" w:sz="0" w:space="0" w:color="auto"/>
                            <w:left w:val="none" w:sz="0" w:space="0" w:color="auto"/>
                            <w:bottom w:val="none" w:sz="0" w:space="0" w:color="auto"/>
                            <w:right w:val="none" w:sz="0" w:space="0" w:color="auto"/>
                          </w:divBdr>
                        </w:div>
                      </w:divsChild>
                    </w:div>
                    <w:div w:id="901066192">
                      <w:marLeft w:val="0"/>
                      <w:marRight w:val="0"/>
                      <w:marTop w:val="0"/>
                      <w:marBottom w:val="0"/>
                      <w:divBdr>
                        <w:top w:val="none" w:sz="0" w:space="0" w:color="auto"/>
                        <w:left w:val="none" w:sz="0" w:space="0" w:color="auto"/>
                        <w:bottom w:val="none" w:sz="0" w:space="0" w:color="auto"/>
                        <w:right w:val="none" w:sz="0" w:space="0" w:color="auto"/>
                      </w:divBdr>
                      <w:divsChild>
                        <w:div w:id="1864779816">
                          <w:marLeft w:val="0"/>
                          <w:marRight w:val="0"/>
                          <w:marTop w:val="0"/>
                          <w:marBottom w:val="0"/>
                          <w:divBdr>
                            <w:top w:val="none" w:sz="0" w:space="0" w:color="auto"/>
                            <w:left w:val="none" w:sz="0" w:space="0" w:color="auto"/>
                            <w:bottom w:val="none" w:sz="0" w:space="0" w:color="auto"/>
                            <w:right w:val="none" w:sz="0" w:space="0" w:color="auto"/>
                          </w:divBdr>
                        </w:div>
                      </w:divsChild>
                    </w:div>
                    <w:div w:id="1513716414">
                      <w:marLeft w:val="0"/>
                      <w:marRight w:val="0"/>
                      <w:marTop w:val="0"/>
                      <w:marBottom w:val="0"/>
                      <w:divBdr>
                        <w:top w:val="none" w:sz="0" w:space="0" w:color="auto"/>
                        <w:left w:val="none" w:sz="0" w:space="0" w:color="auto"/>
                        <w:bottom w:val="none" w:sz="0" w:space="0" w:color="auto"/>
                        <w:right w:val="none" w:sz="0" w:space="0" w:color="auto"/>
                      </w:divBdr>
                      <w:divsChild>
                        <w:div w:id="1688285136">
                          <w:marLeft w:val="0"/>
                          <w:marRight w:val="0"/>
                          <w:marTop w:val="0"/>
                          <w:marBottom w:val="0"/>
                          <w:divBdr>
                            <w:top w:val="none" w:sz="0" w:space="0" w:color="auto"/>
                            <w:left w:val="none" w:sz="0" w:space="0" w:color="auto"/>
                            <w:bottom w:val="none" w:sz="0" w:space="0" w:color="auto"/>
                            <w:right w:val="none" w:sz="0" w:space="0" w:color="auto"/>
                          </w:divBdr>
                        </w:div>
                      </w:divsChild>
                    </w:div>
                    <w:div w:id="549614638">
                      <w:marLeft w:val="0"/>
                      <w:marRight w:val="0"/>
                      <w:marTop w:val="0"/>
                      <w:marBottom w:val="0"/>
                      <w:divBdr>
                        <w:top w:val="none" w:sz="0" w:space="0" w:color="auto"/>
                        <w:left w:val="none" w:sz="0" w:space="0" w:color="auto"/>
                        <w:bottom w:val="none" w:sz="0" w:space="0" w:color="auto"/>
                        <w:right w:val="none" w:sz="0" w:space="0" w:color="auto"/>
                      </w:divBdr>
                      <w:divsChild>
                        <w:div w:id="602079763">
                          <w:marLeft w:val="0"/>
                          <w:marRight w:val="0"/>
                          <w:marTop w:val="0"/>
                          <w:marBottom w:val="0"/>
                          <w:divBdr>
                            <w:top w:val="none" w:sz="0" w:space="0" w:color="auto"/>
                            <w:left w:val="none" w:sz="0" w:space="0" w:color="auto"/>
                            <w:bottom w:val="none" w:sz="0" w:space="0" w:color="auto"/>
                            <w:right w:val="none" w:sz="0" w:space="0" w:color="auto"/>
                          </w:divBdr>
                        </w:div>
                      </w:divsChild>
                    </w:div>
                    <w:div w:id="1967350926">
                      <w:marLeft w:val="0"/>
                      <w:marRight w:val="0"/>
                      <w:marTop w:val="0"/>
                      <w:marBottom w:val="0"/>
                      <w:divBdr>
                        <w:top w:val="none" w:sz="0" w:space="0" w:color="auto"/>
                        <w:left w:val="none" w:sz="0" w:space="0" w:color="auto"/>
                        <w:bottom w:val="none" w:sz="0" w:space="0" w:color="auto"/>
                        <w:right w:val="none" w:sz="0" w:space="0" w:color="auto"/>
                      </w:divBdr>
                      <w:divsChild>
                        <w:div w:id="1562204933">
                          <w:marLeft w:val="0"/>
                          <w:marRight w:val="0"/>
                          <w:marTop w:val="0"/>
                          <w:marBottom w:val="0"/>
                          <w:divBdr>
                            <w:top w:val="none" w:sz="0" w:space="0" w:color="auto"/>
                            <w:left w:val="none" w:sz="0" w:space="0" w:color="auto"/>
                            <w:bottom w:val="none" w:sz="0" w:space="0" w:color="auto"/>
                            <w:right w:val="none" w:sz="0" w:space="0" w:color="auto"/>
                          </w:divBdr>
                        </w:div>
                      </w:divsChild>
                    </w:div>
                    <w:div w:id="684401723">
                      <w:marLeft w:val="0"/>
                      <w:marRight w:val="0"/>
                      <w:marTop w:val="0"/>
                      <w:marBottom w:val="0"/>
                      <w:divBdr>
                        <w:top w:val="none" w:sz="0" w:space="0" w:color="auto"/>
                        <w:left w:val="none" w:sz="0" w:space="0" w:color="auto"/>
                        <w:bottom w:val="none" w:sz="0" w:space="0" w:color="auto"/>
                        <w:right w:val="none" w:sz="0" w:space="0" w:color="auto"/>
                      </w:divBdr>
                      <w:divsChild>
                        <w:div w:id="1365596234">
                          <w:marLeft w:val="0"/>
                          <w:marRight w:val="0"/>
                          <w:marTop w:val="0"/>
                          <w:marBottom w:val="0"/>
                          <w:divBdr>
                            <w:top w:val="none" w:sz="0" w:space="0" w:color="auto"/>
                            <w:left w:val="none" w:sz="0" w:space="0" w:color="auto"/>
                            <w:bottom w:val="none" w:sz="0" w:space="0" w:color="auto"/>
                            <w:right w:val="none" w:sz="0" w:space="0" w:color="auto"/>
                          </w:divBdr>
                        </w:div>
                      </w:divsChild>
                    </w:div>
                    <w:div w:id="26764590">
                      <w:marLeft w:val="0"/>
                      <w:marRight w:val="0"/>
                      <w:marTop w:val="0"/>
                      <w:marBottom w:val="0"/>
                      <w:divBdr>
                        <w:top w:val="none" w:sz="0" w:space="0" w:color="auto"/>
                        <w:left w:val="none" w:sz="0" w:space="0" w:color="auto"/>
                        <w:bottom w:val="none" w:sz="0" w:space="0" w:color="auto"/>
                        <w:right w:val="none" w:sz="0" w:space="0" w:color="auto"/>
                      </w:divBdr>
                      <w:divsChild>
                        <w:div w:id="434984619">
                          <w:marLeft w:val="0"/>
                          <w:marRight w:val="0"/>
                          <w:marTop w:val="0"/>
                          <w:marBottom w:val="0"/>
                          <w:divBdr>
                            <w:top w:val="none" w:sz="0" w:space="0" w:color="auto"/>
                            <w:left w:val="none" w:sz="0" w:space="0" w:color="auto"/>
                            <w:bottom w:val="none" w:sz="0" w:space="0" w:color="auto"/>
                            <w:right w:val="none" w:sz="0" w:space="0" w:color="auto"/>
                          </w:divBdr>
                        </w:div>
                      </w:divsChild>
                    </w:div>
                    <w:div w:id="1907184333">
                      <w:marLeft w:val="0"/>
                      <w:marRight w:val="0"/>
                      <w:marTop w:val="0"/>
                      <w:marBottom w:val="0"/>
                      <w:divBdr>
                        <w:top w:val="none" w:sz="0" w:space="0" w:color="auto"/>
                        <w:left w:val="none" w:sz="0" w:space="0" w:color="auto"/>
                        <w:bottom w:val="none" w:sz="0" w:space="0" w:color="auto"/>
                        <w:right w:val="none" w:sz="0" w:space="0" w:color="auto"/>
                      </w:divBdr>
                      <w:divsChild>
                        <w:div w:id="4602850">
                          <w:marLeft w:val="0"/>
                          <w:marRight w:val="0"/>
                          <w:marTop w:val="0"/>
                          <w:marBottom w:val="0"/>
                          <w:divBdr>
                            <w:top w:val="none" w:sz="0" w:space="0" w:color="auto"/>
                            <w:left w:val="none" w:sz="0" w:space="0" w:color="auto"/>
                            <w:bottom w:val="none" w:sz="0" w:space="0" w:color="auto"/>
                            <w:right w:val="none" w:sz="0" w:space="0" w:color="auto"/>
                          </w:divBdr>
                        </w:div>
                      </w:divsChild>
                    </w:div>
                    <w:div w:id="107430953">
                      <w:marLeft w:val="0"/>
                      <w:marRight w:val="0"/>
                      <w:marTop w:val="0"/>
                      <w:marBottom w:val="0"/>
                      <w:divBdr>
                        <w:top w:val="none" w:sz="0" w:space="0" w:color="auto"/>
                        <w:left w:val="none" w:sz="0" w:space="0" w:color="auto"/>
                        <w:bottom w:val="none" w:sz="0" w:space="0" w:color="auto"/>
                        <w:right w:val="none" w:sz="0" w:space="0" w:color="auto"/>
                      </w:divBdr>
                      <w:divsChild>
                        <w:div w:id="812795425">
                          <w:marLeft w:val="0"/>
                          <w:marRight w:val="0"/>
                          <w:marTop w:val="0"/>
                          <w:marBottom w:val="0"/>
                          <w:divBdr>
                            <w:top w:val="none" w:sz="0" w:space="0" w:color="auto"/>
                            <w:left w:val="none" w:sz="0" w:space="0" w:color="auto"/>
                            <w:bottom w:val="none" w:sz="0" w:space="0" w:color="auto"/>
                            <w:right w:val="none" w:sz="0" w:space="0" w:color="auto"/>
                          </w:divBdr>
                        </w:div>
                      </w:divsChild>
                    </w:div>
                    <w:div w:id="516652014">
                      <w:marLeft w:val="0"/>
                      <w:marRight w:val="0"/>
                      <w:marTop w:val="0"/>
                      <w:marBottom w:val="0"/>
                      <w:divBdr>
                        <w:top w:val="none" w:sz="0" w:space="0" w:color="auto"/>
                        <w:left w:val="none" w:sz="0" w:space="0" w:color="auto"/>
                        <w:bottom w:val="none" w:sz="0" w:space="0" w:color="auto"/>
                        <w:right w:val="none" w:sz="0" w:space="0" w:color="auto"/>
                      </w:divBdr>
                      <w:divsChild>
                        <w:div w:id="1676348017">
                          <w:marLeft w:val="0"/>
                          <w:marRight w:val="0"/>
                          <w:marTop w:val="0"/>
                          <w:marBottom w:val="0"/>
                          <w:divBdr>
                            <w:top w:val="none" w:sz="0" w:space="0" w:color="auto"/>
                            <w:left w:val="none" w:sz="0" w:space="0" w:color="auto"/>
                            <w:bottom w:val="none" w:sz="0" w:space="0" w:color="auto"/>
                            <w:right w:val="none" w:sz="0" w:space="0" w:color="auto"/>
                          </w:divBdr>
                        </w:div>
                      </w:divsChild>
                    </w:div>
                    <w:div w:id="233785028">
                      <w:marLeft w:val="0"/>
                      <w:marRight w:val="0"/>
                      <w:marTop w:val="0"/>
                      <w:marBottom w:val="0"/>
                      <w:divBdr>
                        <w:top w:val="none" w:sz="0" w:space="0" w:color="auto"/>
                        <w:left w:val="none" w:sz="0" w:space="0" w:color="auto"/>
                        <w:bottom w:val="none" w:sz="0" w:space="0" w:color="auto"/>
                        <w:right w:val="none" w:sz="0" w:space="0" w:color="auto"/>
                      </w:divBdr>
                      <w:divsChild>
                        <w:div w:id="9854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1998</Characters>
  <Application>Microsoft Office Word</Application>
  <DocSecurity>0</DocSecurity>
  <Lines>16</Lines>
  <Paragraphs>4</Paragraphs>
  <ScaleCrop>false</ScaleCrop>
  <Company>Microsoft</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cernotik</dc:creator>
  <cp:lastModifiedBy>cernotik</cp:lastModifiedBy>
  <cp:revision>4</cp:revision>
  <dcterms:created xsi:type="dcterms:W3CDTF">2017-10-16T18:37:00Z</dcterms:created>
  <dcterms:modified xsi:type="dcterms:W3CDTF">2017-10-16T18:38:00Z</dcterms:modified>
</cp:coreProperties>
</file>